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8"/>
        <w:gridCol w:w="5490"/>
        <w:tblGridChange w:id="0">
          <w:tblGrid>
            <w:gridCol w:w="5598"/>
            <w:gridCol w:w="5490"/>
          </w:tblGrid>
        </w:tblGridChange>
      </w:tblGrid>
      <w:tr>
        <w:trPr>
          <w:cantSplit w:val="0"/>
          <w:tblHeader w:val="0"/>
        </w:trPr>
        <w:tc>
          <w:tcPr>
            <w:tcBorders>
              <w:right w:color="000000" w:space="0" w:sz="4" w:val="single"/>
            </w:tcBorders>
            <w:shd w:fill="dbe5f1" w:val="clear"/>
          </w:tcPr>
          <w:p w:rsidR="00000000" w:rsidDel="00000000" w:rsidP="00000000" w:rsidRDefault="00000000" w:rsidRPr="00000000" w14:paraId="00000002">
            <w:pPr>
              <w:pStyle w:val="Heading2"/>
              <w:spacing w:before="101" w:lineRule="auto"/>
              <w:ind w:left="1224" w:right="216" w:hanging="432"/>
              <w:rPr>
                <w:b w:val="1"/>
              </w:rPr>
            </w:pPr>
            <w:r w:rsidDel="00000000" w:rsidR="00000000" w:rsidRPr="00000000">
              <w:rPr>
                <w:b w:val="1"/>
                <w:rtl w:val="0"/>
              </w:rPr>
              <w:t xml:space="preserve">McKinley School</w:t>
            </w:r>
          </w:p>
          <w:p w:rsidR="00000000" w:rsidDel="00000000" w:rsidP="00000000" w:rsidRDefault="00000000" w:rsidRPr="00000000" w14:paraId="00000003">
            <w:pPr>
              <w:pStyle w:val="Heading2"/>
              <w:spacing w:before="101" w:lineRule="auto"/>
              <w:ind w:left="1224" w:right="216" w:hanging="432"/>
              <w:rPr>
                <w:b w:val="1"/>
              </w:rPr>
            </w:pPr>
            <w:r w:rsidDel="00000000" w:rsidR="00000000" w:rsidRPr="00000000">
              <w:rPr>
                <w:b w:val="1"/>
                <w:rtl w:val="0"/>
              </w:rPr>
              <w:t xml:space="preserve">Family Engagement Policy</w:t>
            </w:r>
          </w:p>
          <w:p w:rsidR="00000000" w:rsidDel="00000000" w:rsidP="00000000" w:rsidRDefault="00000000" w:rsidRPr="00000000" w14:paraId="00000004">
            <w:pPr>
              <w:pStyle w:val="Heading2"/>
              <w:spacing w:before="101" w:lineRule="auto"/>
              <w:ind w:left="1224" w:right="216" w:hanging="432"/>
              <w:rPr>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McKinley Elementary School is committed to the belief that all children can learn and acknowledges that parents share in the success of their children. We believe that working together, as a team, is the key to our success at McKinley School. Parents, teachers, and administrators are encouraged to keep the lines of communication open between home and school. We strongly believe that a child's education is a shared responsibility between the home and the school.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1"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 elementary school students begin their first experiences in a school, communication between families and school is crucial. Parents are encouraged to call, email, message on Schoology, or write notes to teachers if there are any questions or concerns throughout the school year. Interpreters are available, upon request, to meet with you and your child's teacher(s). We view parents as important decision makers in the academic lives of their children.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1"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McKinley School parents and staff meet jointly to develop our School Wide Family Engagement policy and Compact in the fall of each school year at our Title I meeting.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1"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Relevant workshops, programs, and activities will be offered to McKinley School parents throughout the school year. We encourage all of our parents to take part in what our school has to offer. Parents are equal partners and we value your input.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1"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Although McKinley School sets two days aside in November for parent conferences, parents are encouraged to schedule meetings throughout the year if the need arises. If parents would like to schedule a conference with their child's teacher(s), they may contact the office directly and arrangements will be made.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1"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any parent would like to be involved in creating next year's family engagement documents, he/she can contact our Title I School Wide Support teachers, Mrs. Spitznogle or Ms. Adiutori (874-6870).</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1"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Cambria" w:cs="Cambria" w:eastAsia="Cambria" w:hAnsi="Cambria"/>
                <w:rtl w:val="0"/>
              </w:rPr>
              <w:t xml:space="preserve">A Parent Resource Center is currently available and housed in our Community School Room. Contact our community school director, Amy Grande, at 874-6870.</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                                      </w:t>
            </w:r>
            <w:r w:rsidDel="00000000" w:rsidR="00000000" w:rsidRPr="00000000">
              <w:rPr/>
              <w:drawing>
                <wp:inline distB="0" distT="0" distL="0" distR="0">
                  <wp:extent cx="793961" cy="736566"/>
                  <wp:effectExtent b="28575" l="28575" r="28575" t="28575"/>
                  <wp:docPr descr="C:\Users\arodriguez\AppData\Local\Microsoft\Windows\Temporary Internet Files\Content.IE5\8FYSJGVE\Anchor_Gold[1].jpg" id="3" name="image2.jpg"/>
                  <a:graphic>
                    <a:graphicData uri="http://schemas.openxmlformats.org/drawingml/2006/picture">
                      <pic:pic>
                        <pic:nvPicPr>
                          <pic:cNvPr descr="C:\Users\arodriguez\AppData\Local\Microsoft\Windows\Temporary Internet Files\Content.IE5\8FYSJGVE\Anchor_Gold[1].jpg" id="0" name="image2.jpg"/>
                          <pic:cNvPicPr preferRelativeResize="0"/>
                        </pic:nvPicPr>
                        <pic:blipFill>
                          <a:blip r:embed="rId6"/>
                          <a:srcRect b="0" l="0" r="0" t="0"/>
                          <a:stretch>
                            <a:fillRect/>
                          </a:stretch>
                        </pic:blipFill>
                        <pic:spPr>
                          <a:xfrm>
                            <a:off x="0" y="0"/>
                            <a:ext cx="793961" cy="736566"/>
                          </a:xfrm>
                          <a:prstGeom prst="rect"/>
                          <a:ln w="28575">
                            <a:solidFill>
                              <a:srgbClr val="974806"/>
                            </a:solidFill>
                            <a:prstDash val="solid"/>
                          </a:ln>
                        </pic:spPr>
                      </pic:pic>
                    </a:graphicData>
                  </a:graphic>
                </wp:inline>
              </w:drawing>
            </w:r>
            <w:r w:rsidDel="00000000" w:rsidR="00000000" w:rsidRPr="00000000">
              <w:rPr>
                <w:rtl w:val="0"/>
              </w:rPr>
            </w:r>
          </w:p>
        </w:tc>
        <w:tc>
          <w:tcPr>
            <w:tcBorders>
              <w:left w:color="000000" w:space="0" w:sz="4" w:val="single"/>
            </w:tcBorders>
          </w:tcPr>
          <w:p w:rsidR="00000000" w:rsidDel="00000000" w:rsidP="00000000" w:rsidRDefault="00000000" w:rsidRPr="00000000" w14:paraId="00000014">
            <w:pPr>
              <w:rPr>
                <w:rFonts w:ascii="Cambria" w:cs="Cambria" w:eastAsia="Cambria" w:hAnsi="Cambria"/>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950595</wp:posOffset>
                  </wp:positionH>
                  <wp:positionV relativeFrom="paragraph">
                    <wp:posOffset>29844</wp:posOffset>
                  </wp:positionV>
                  <wp:extent cx="1971129" cy="1257804"/>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71129" cy="1257804"/>
                          </a:xfrm>
                          <a:prstGeom prst="rect"/>
                          <a:ln/>
                        </pic:spPr>
                      </pic:pic>
                    </a:graphicData>
                  </a:graphic>
                </wp:anchor>
              </w:drawing>
            </w:r>
          </w:p>
          <w:p w:rsidR="00000000" w:rsidDel="00000000" w:rsidP="00000000" w:rsidRDefault="00000000" w:rsidRPr="00000000" w14:paraId="00000015">
            <w:pPr>
              <w:rPr>
                <w:rFonts w:ascii="Cambria" w:cs="Cambria" w:eastAsia="Cambria" w:hAnsi="Cambria"/>
                <w:b w:val="1"/>
                <w:sz w:val="56"/>
                <w:szCs w:val="56"/>
              </w:rPr>
            </w:pPr>
            <w:r w:rsidDel="00000000" w:rsidR="00000000" w:rsidRPr="00000000">
              <w:rPr>
                <w:rFonts w:ascii="Cambria" w:cs="Cambria" w:eastAsia="Cambria" w:hAnsi="Cambria"/>
                <w:b w:val="1"/>
                <w:sz w:val="56"/>
                <w:szCs w:val="56"/>
                <w:rtl w:val="0"/>
              </w:rPr>
              <w:t xml:space="preserve"> </w:t>
            </w:r>
          </w:p>
          <w:p w:rsidR="00000000" w:rsidDel="00000000" w:rsidP="00000000" w:rsidRDefault="00000000" w:rsidRPr="00000000" w14:paraId="00000016">
            <w:pPr>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17">
            <w:pPr>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18">
            <w:pPr>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19">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Title I Family Engagement Policy and Learning Compact for the 2024-2025 school year</w:t>
            </w:r>
          </w:p>
          <w:p w:rsidR="00000000" w:rsidDel="00000000" w:rsidP="00000000" w:rsidRDefault="00000000" w:rsidRPr="00000000" w14:paraId="0000001A">
            <w:pPr>
              <w:spacing w:after="0"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McKinley Elementary School and parents of students participating in activities, services, and programs funded by the Title I, Part A of the Elementary and Secondary Education Act (ESEA) agree that this policy outlines how the parents, staff, and students will </w:t>
            </w:r>
            <w:r w:rsidDel="00000000" w:rsidR="00000000" w:rsidRPr="00000000">
              <w:rPr>
                <w:rFonts w:ascii="Cambria" w:cs="Cambria" w:eastAsia="Cambria" w:hAnsi="Cambria"/>
                <w:b w:val="1"/>
                <w:i w:val="1"/>
                <w:sz w:val="24"/>
                <w:szCs w:val="24"/>
                <w:u w:val="single"/>
                <w:rtl w:val="0"/>
              </w:rPr>
              <w:t xml:space="preserve">share</w:t>
            </w:r>
            <w:r w:rsidDel="00000000" w:rsidR="00000000" w:rsidRPr="00000000">
              <w:rPr>
                <w:rFonts w:ascii="Cambria" w:cs="Cambria" w:eastAsia="Cambria" w:hAnsi="Cambria"/>
                <w:i w:val="1"/>
                <w:sz w:val="24"/>
                <w:szCs w:val="24"/>
                <w:rtl w:val="0"/>
              </w:rPr>
              <w:t xml:space="preserve"> the responsibility for improved academic achievement and the means by which the school and parents will build and develop a strong partnership that will help our children meet the highest levels of success.</w:t>
            </w:r>
          </w:p>
          <w:p w:rsidR="00000000" w:rsidDel="00000000" w:rsidP="00000000" w:rsidRDefault="00000000" w:rsidRPr="00000000" w14:paraId="0000001B">
            <w:pPr>
              <w:spacing w:after="0"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C">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As students, we will:</w:t>
            </w:r>
          </w:p>
          <w:p w:rsidR="00000000" w:rsidDel="00000000" w:rsidP="00000000" w:rsidRDefault="00000000" w:rsidRPr="00000000" w14:paraId="0000001D">
            <w:pPr>
              <w:numPr>
                <w:ilvl w:val="0"/>
                <w:numId w:val="2"/>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Follow McKinley's expectations: Be Here, Be Safe, Be Kind.</w:t>
            </w:r>
          </w:p>
          <w:p w:rsidR="00000000" w:rsidDel="00000000" w:rsidP="00000000" w:rsidRDefault="00000000" w:rsidRPr="00000000" w14:paraId="0000001E">
            <w:pPr>
              <w:numPr>
                <w:ilvl w:val="0"/>
                <w:numId w:val="2"/>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Come to school on time every day ready to learn.</w:t>
            </w:r>
          </w:p>
          <w:p w:rsidR="00000000" w:rsidDel="00000000" w:rsidP="00000000" w:rsidRDefault="00000000" w:rsidRPr="00000000" w14:paraId="0000001F">
            <w:pPr>
              <w:numPr>
                <w:ilvl w:val="0"/>
                <w:numId w:val="2"/>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Stay on task and ask for help when we need it.</w:t>
            </w:r>
          </w:p>
          <w:p w:rsidR="00000000" w:rsidDel="00000000" w:rsidP="00000000" w:rsidRDefault="00000000" w:rsidRPr="00000000" w14:paraId="00000020">
            <w:pPr>
              <w:numPr>
                <w:ilvl w:val="0"/>
                <w:numId w:val="2"/>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Complete all assignments and try your best.</w:t>
            </w:r>
          </w:p>
          <w:p w:rsidR="00000000" w:rsidDel="00000000" w:rsidP="00000000" w:rsidRDefault="00000000" w:rsidRPr="00000000" w14:paraId="00000021">
            <w:pPr>
              <w:numPr>
                <w:ilvl w:val="0"/>
                <w:numId w:val="2"/>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Show pride in your accomplishments.</w:t>
            </w:r>
          </w:p>
          <w:p w:rsidR="00000000" w:rsidDel="00000000" w:rsidP="00000000" w:rsidRDefault="00000000" w:rsidRPr="00000000" w14:paraId="00000022">
            <w:pPr>
              <w:spacing w:after="0" w:lineRule="auto"/>
              <w:rPr>
                <w:rFonts w:ascii="Cambria" w:cs="Cambria" w:eastAsia="Cambria" w:hAnsi="Cambria"/>
                <w:sz w:val="20"/>
                <w:szCs w:val="20"/>
              </w:rPr>
            </w:pPr>
            <w:r w:rsidDel="00000000" w:rsidR="00000000" w:rsidRPr="00000000">
              <w:rPr>
                <w:rFonts w:ascii="Cambria" w:cs="Cambria" w:eastAsia="Cambria" w:hAnsi="Cambria"/>
                <w:b w:val="1"/>
                <w:sz w:val="24"/>
                <w:szCs w:val="24"/>
                <w:rtl w:val="0"/>
              </w:rPr>
              <w:t xml:space="preserve">As parents, we will:</w:t>
            </w:r>
            <w:r w:rsidDel="00000000" w:rsidR="00000000" w:rsidRPr="00000000">
              <w:rPr>
                <w:rtl w:val="0"/>
              </w:rPr>
            </w:r>
          </w:p>
          <w:p w:rsidR="00000000" w:rsidDel="00000000" w:rsidP="00000000" w:rsidRDefault="00000000" w:rsidRPr="00000000" w14:paraId="00000023">
            <w:pPr>
              <w:numPr>
                <w:ilvl w:val="0"/>
                <w:numId w:val="3"/>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Encourage  learning and the importance of school.</w:t>
            </w:r>
          </w:p>
          <w:p w:rsidR="00000000" w:rsidDel="00000000" w:rsidP="00000000" w:rsidRDefault="00000000" w:rsidRPr="00000000" w14:paraId="00000024">
            <w:pPr>
              <w:numPr>
                <w:ilvl w:val="0"/>
                <w:numId w:val="3"/>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Make sure our children get to  school on time every day ready to learn.</w:t>
            </w:r>
          </w:p>
          <w:p w:rsidR="00000000" w:rsidDel="00000000" w:rsidP="00000000" w:rsidRDefault="00000000" w:rsidRPr="00000000" w14:paraId="00000025">
            <w:pPr>
              <w:numPr>
                <w:ilvl w:val="0"/>
                <w:numId w:val="3"/>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Attend Parental Engagement activities offered at the school.</w:t>
            </w:r>
          </w:p>
          <w:p w:rsidR="00000000" w:rsidDel="00000000" w:rsidP="00000000" w:rsidRDefault="00000000" w:rsidRPr="00000000" w14:paraId="00000026">
            <w:pPr>
              <w:numPr>
                <w:ilvl w:val="0"/>
                <w:numId w:val="3"/>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Volunteer (with clearances) at McKinley School when possible.</w:t>
            </w:r>
          </w:p>
          <w:p w:rsidR="00000000" w:rsidDel="00000000" w:rsidP="00000000" w:rsidRDefault="00000000" w:rsidRPr="00000000" w14:paraId="00000027">
            <w:pPr>
              <w:numPr>
                <w:ilvl w:val="0"/>
                <w:numId w:val="3"/>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Celebrate school achievements as milestones.</w:t>
            </w:r>
          </w:p>
          <w:p w:rsidR="00000000" w:rsidDel="00000000" w:rsidP="00000000" w:rsidRDefault="00000000" w:rsidRPr="00000000" w14:paraId="0000002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As teachers, we will:</w:t>
            </w:r>
          </w:p>
          <w:p w:rsidR="00000000" w:rsidDel="00000000" w:rsidP="00000000" w:rsidRDefault="00000000" w:rsidRPr="00000000" w14:paraId="00000029">
            <w:pPr>
              <w:numPr>
                <w:ilvl w:val="0"/>
                <w:numId w:val="1"/>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Teach necessary standards and skills to your children.</w:t>
            </w:r>
          </w:p>
          <w:p w:rsidR="00000000" w:rsidDel="00000000" w:rsidP="00000000" w:rsidRDefault="00000000" w:rsidRPr="00000000" w14:paraId="0000002A">
            <w:pPr>
              <w:numPr>
                <w:ilvl w:val="0"/>
                <w:numId w:val="1"/>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Communicate with families in various ways and on a regular basis regarding your children's progress.</w:t>
            </w:r>
          </w:p>
          <w:p w:rsidR="00000000" w:rsidDel="00000000" w:rsidP="00000000" w:rsidRDefault="00000000" w:rsidRPr="00000000" w14:paraId="0000002B">
            <w:pPr>
              <w:numPr>
                <w:ilvl w:val="0"/>
                <w:numId w:val="1"/>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Teach and model acceptance of responsibility for the positive and negative outcomes of personal behavior.</w:t>
            </w:r>
          </w:p>
          <w:p w:rsidR="00000000" w:rsidDel="00000000" w:rsidP="00000000" w:rsidRDefault="00000000" w:rsidRPr="00000000" w14:paraId="0000002C">
            <w:pPr>
              <w:numPr>
                <w:ilvl w:val="0"/>
                <w:numId w:val="1"/>
              </w:numPr>
              <w:spacing w:after="0" w:lineRule="auto"/>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Invite parents to volunteer (with clearances) at McKinley School.</w:t>
            </w:r>
          </w:p>
          <w:p w:rsidR="00000000" w:rsidDel="00000000" w:rsidP="00000000" w:rsidRDefault="00000000" w:rsidRPr="00000000" w14:paraId="0000002D">
            <w:pPr>
              <w:numPr>
                <w:ilvl w:val="0"/>
                <w:numId w:val="1"/>
              </w:numPr>
              <w:ind w:left="108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Celebrate students’ achievement and growth.</w:t>
            </w:r>
          </w:p>
        </w:tc>
      </w:tr>
    </w:tbl>
    <w:p w:rsidR="00000000" w:rsidDel="00000000" w:rsidP="00000000" w:rsidRDefault="00000000" w:rsidRPr="00000000" w14:paraId="0000002E">
      <w:pPr>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F">
      <w:pPr>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0">
      <w:pPr>
        <w:jc w:val="center"/>
        <w:rPr>
          <w:rFonts w:ascii="Cambria" w:cs="Cambria" w:eastAsia="Cambria" w:hAnsi="Cambria"/>
          <w:b w:val="1"/>
          <w:sz w:val="28"/>
          <w:szCs w:val="28"/>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5329238</wp:posOffset>
                </wp:positionH>
                <wp:positionV relativeFrom="margin">
                  <wp:align>top</wp:align>
                </wp:positionV>
                <wp:extent cx="2219325" cy="7960360"/>
                <wp:effectExtent b="0" l="0" r="0" t="0"/>
                <wp:wrapSquare wrapText="bothSides" distB="0" distT="0" distL="114300" distR="114300"/>
                <wp:docPr descr="Narrow horizontal" id="1" name=""/>
                <a:graphic>
                  <a:graphicData uri="http://schemas.microsoft.com/office/word/2010/wordprocessingShape">
                    <wps:wsp>
                      <wps:cNvSpPr/>
                      <wps:cNvPr id="2" name="Shape 2"/>
                      <wps:spPr>
                        <a:xfrm>
                          <a:off x="4241100" y="0"/>
                          <a:ext cx="2209800" cy="7560000"/>
                        </a:xfrm>
                        <a:prstGeom prst="rect">
                          <a:avLst/>
                        </a:prstGeom>
                        <a:solidFill>
                          <a:srgbClr val="DAE5F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p>
                          <w:p w:rsidR="00000000" w:rsidDel="00000000" w:rsidP="00000000" w:rsidRDefault="00000000" w:rsidRPr="00000000">
                            <w:pPr>
                              <w:spacing w:after="200" w:before="2.0000000298023224" w:line="275.9999942779541"/>
                              <w:ind w:left="0" w:right="0" w:firstLine="0"/>
                              <w:jc w:val="center"/>
                              <w:textDirection w:val="btLr"/>
                            </w:pPr>
                            <w:r w:rsidDel="00000000" w:rsidR="00000000" w:rsidRPr="00000000">
                              <w:rPr>
                                <w:rFonts w:ascii="Cambria" w:cs="Cambria" w:eastAsia="Cambria" w:hAnsi="Cambria"/>
                                <w:b w:val="0"/>
                                <w:i w:val="1"/>
                                <w:smallCaps w:val="0"/>
                                <w:strike w:val="0"/>
                                <w:color w:val="000000"/>
                                <w:sz w:val="8"/>
                                <w:vertAlign w:val="baseline"/>
                              </w:rPr>
                            </w:r>
                            <w:r w:rsidDel="00000000" w:rsidR="00000000" w:rsidRPr="00000000">
                              <w:rPr>
                                <w:rFonts w:ascii="Cambria" w:cs="Cambria" w:eastAsia="Cambria" w:hAnsi="Cambria"/>
                                <w:b w:val="1"/>
                                <w:i w:val="1"/>
                                <w:smallCaps w:val="0"/>
                                <w:strike w:val="0"/>
                                <w:color w:val="000000"/>
                                <w:sz w:val="20"/>
                                <w:u w:val="single"/>
                                <w:vertAlign w:val="baseline"/>
                              </w:rPr>
                              <w:t xml:space="preserve">Mission Statement </w:t>
                            </w:r>
                          </w:p>
                          <w:p w:rsidR="00000000" w:rsidDel="00000000" w:rsidP="00000000" w:rsidRDefault="00000000" w:rsidRPr="00000000">
                            <w:pPr>
                              <w:spacing w:after="200" w:before="2.0000000298023224" w:line="275.9999942779541"/>
                              <w:ind w:left="0" w:right="0" w:firstLine="0"/>
                              <w:jc w:val="center"/>
                              <w:textDirection w:val="btLr"/>
                            </w:pPr>
                            <w:r w:rsidDel="00000000" w:rsidR="00000000" w:rsidRPr="00000000">
                              <w:rPr>
                                <w:rFonts w:ascii="Cambria" w:cs="Cambria" w:eastAsia="Cambria" w:hAnsi="Cambria"/>
                                <w:b w:val="1"/>
                                <w:i w:val="1"/>
                                <w:smallCaps w:val="0"/>
                                <w:strike w:val="0"/>
                                <w:color w:val="000000"/>
                                <w:sz w:val="20"/>
                                <w:u w:val="single"/>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We dedicate ourselves to cultivating a safe community that openly welcomes and inspires every person to be respectful, responsible, safe, and prepared. </w:t>
                            </w:r>
                          </w:p>
                          <w:p w:rsidR="00000000" w:rsidDel="00000000" w:rsidP="00000000" w:rsidRDefault="00000000" w:rsidRPr="00000000">
                            <w:pPr>
                              <w:spacing w:after="0" w:before="2.0000000298023224"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200" w:before="2.0000000298023224"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0" w:before="2.0000000298023224" w:line="240"/>
                              <w:ind w:left="0" w:right="0" w:firstLine="0"/>
                              <w:jc w:val="center"/>
                              <w:textDirection w:val="btLr"/>
                            </w:pPr>
                            <w:r w:rsidDel="00000000" w:rsidR="00000000" w:rsidRPr="00000000">
                              <w:rPr>
                                <w:rFonts w:ascii="Cambria" w:cs="Cambria" w:eastAsia="Cambria" w:hAnsi="Cambria"/>
                                <w:b w:val="0"/>
                                <w:i w:val="1"/>
                                <w:smallCaps w:val="0"/>
                                <w:strike w:val="0"/>
                                <w:color w:val="000000"/>
                                <w:sz w:val="22"/>
                                <w:vertAlign w:val="baseline"/>
                              </w:rPr>
                            </w:r>
                          </w:p>
                          <w:p w:rsidR="00000000" w:rsidDel="00000000" w:rsidP="00000000" w:rsidRDefault="00000000" w:rsidRPr="00000000">
                            <w:pPr>
                              <w:spacing w:after="200" w:before="2.0000000298023224" w:line="275.9999942779541"/>
                              <w:ind w:left="0" w:right="0" w:firstLine="0"/>
                              <w:jc w:val="center"/>
                              <w:textDirection w:val="btLr"/>
                            </w:pPr>
                            <w:r w:rsidDel="00000000" w:rsidR="00000000" w:rsidRPr="00000000">
                              <w:rPr>
                                <w:rFonts w:ascii="Cambria" w:cs="Cambria" w:eastAsia="Cambria" w:hAnsi="Cambria"/>
                                <w:b w:val="1"/>
                                <w:i w:val="1"/>
                                <w:smallCaps w:val="0"/>
                                <w:strike w:val="0"/>
                                <w:color w:val="000000"/>
                                <w:sz w:val="20"/>
                                <w:u w:val="single"/>
                                <w:vertAlign w:val="baseline"/>
                              </w:rPr>
                            </w:r>
                            <w:r w:rsidDel="00000000" w:rsidR="00000000" w:rsidRPr="00000000">
                              <w:rPr>
                                <w:rFonts w:ascii="Cambria" w:cs="Cambria" w:eastAsia="Cambria" w:hAnsi="Cambria"/>
                                <w:b w:val="1"/>
                                <w:i w:val="1"/>
                                <w:smallCaps w:val="0"/>
                                <w:strike w:val="0"/>
                                <w:color w:val="000000"/>
                                <w:sz w:val="20"/>
                                <w:u w:val="single"/>
                                <w:vertAlign w:val="baseline"/>
                              </w:rPr>
                              <w:t xml:space="preserve">Vision Statement </w:t>
                            </w:r>
                          </w:p>
                          <w:p w:rsidR="00000000" w:rsidDel="00000000" w:rsidP="00000000" w:rsidRDefault="00000000" w:rsidRPr="00000000">
                            <w:pPr>
                              <w:spacing w:after="200" w:before="1.0000000149011612" w:line="275.9999942779541"/>
                              <w:ind w:left="410" w:right="404.00001525878906" w:firstLine="410.99998474121094"/>
                              <w:jc w:val="center"/>
                              <w:textDirection w:val="btLr"/>
                            </w:pPr>
                            <w:r w:rsidDel="00000000" w:rsidR="00000000" w:rsidRPr="00000000">
                              <w:rPr>
                                <w:rFonts w:ascii="Cambria" w:cs="Cambria" w:eastAsia="Cambria" w:hAnsi="Cambria"/>
                                <w:b w:val="1"/>
                                <w:i w:val="1"/>
                                <w:smallCaps w:val="0"/>
                                <w:strike w:val="0"/>
                                <w:color w:val="000000"/>
                                <w:sz w:val="20"/>
                                <w:u w:val="single"/>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McKinley students will continue to become safe, productive members of society by respecting others, showing empathy, and confidently setting personal goals to achieve their full potential.</w:t>
                            </w:r>
                          </w:p>
                          <w:p w:rsidR="00000000" w:rsidDel="00000000" w:rsidP="00000000" w:rsidRDefault="00000000" w:rsidRPr="00000000">
                            <w:pPr>
                              <w:spacing w:after="200" w:before="1.0000000149011612" w:line="275.9999942779541"/>
                              <w:ind w:left="410" w:right="404.00001525878906" w:firstLine="410.99998474121094"/>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*Are you looking for easy ways to keep up with all the latest McKinley happenings? “LIKE” us on Facebook and check out our website. </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1"/>
                                <w:i w:val="1"/>
                                <w:smallCaps w:val="0"/>
                                <w:strike w:val="0"/>
                                <w:color w:val="000000"/>
                                <w:sz w:val="16"/>
                                <w:vertAlign w:val="baseline"/>
                              </w:rPr>
                            </w:r>
                            <w:r w:rsidDel="00000000" w:rsidR="00000000" w:rsidRPr="00000000">
                              <w:rPr>
                                <w:rFonts w:ascii="Cambria" w:cs="Cambria" w:eastAsia="Cambria" w:hAnsi="Cambria"/>
                                <w:b w:val="1"/>
                                <w:i w:val="1"/>
                                <w:smallCaps w:val="0"/>
                                <w:strike w:val="0"/>
                                <w:color w:val="000000"/>
                                <w:sz w:val="48"/>
                                <w:vertAlign w:val="baseline"/>
                              </w:rPr>
                              <w:t xml:space="preserve">#McKAllDay   </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1"/>
                                <w:i w:val="1"/>
                                <w:smallCaps w:val="0"/>
                                <w:strike w:val="0"/>
                                <w:color w:val="000000"/>
                                <w:sz w:val="48"/>
                                <w:vertAlign w:val="baseline"/>
                              </w:rPr>
                            </w:r>
                            <w:r w:rsidDel="00000000" w:rsidR="00000000" w:rsidRPr="00000000">
                              <w:rPr>
                                <w:rFonts w:ascii="Cambria" w:cs="Cambria" w:eastAsia="Cambria" w:hAnsi="Cambria"/>
                                <w:b w:val="1"/>
                                <w:i w:val="1"/>
                                <w:smallCaps w:val="0"/>
                                <w:strike w:val="0"/>
                                <w:color w:val="000000"/>
                                <w:sz w:val="48"/>
                                <w:vertAlign w:val="baseline"/>
                              </w:rPr>
                              <w:t xml:space="preserve">       </w:t>
                            </w:r>
                          </w:p>
                        </w:txbxContent>
                      </wps:txbx>
                      <wps:bodyPr anchorCtr="0" anchor="t" bIns="228600" lIns="228600" spcFirstLastPara="1" rIns="228600" wrap="square" tIns="2286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5329238</wp:posOffset>
                </wp:positionH>
                <wp:positionV relativeFrom="margin">
                  <wp:align>top</wp:align>
                </wp:positionV>
                <wp:extent cx="2219325" cy="7960360"/>
                <wp:effectExtent b="0" l="0" r="0" t="0"/>
                <wp:wrapSquare wrapText="bothSides" distB="0" distT="0" distL="114300" distR="114300"/>
                <wp:docPr descr="Narrow horizontal" id="1" name="image3.png"/>
                <a:graphic>
                  <a:graphicData uri="http://schemas.openxmlformats.org/drawingml/2006/picture">
                    <pic:pic>
                      <pic:nvPicPr>
                        <pic:cNvPr descr="Narrow horizontal" id="0" name="image3.png"/>
                        <pic:cNvPicPr preferRelativeResize="0"/>
                      </pic:nvPicPr>
                      <pic:blipFill>
                        <a:blip r:embed="rId8"/>
                        <a:srcRect/>
                        <a:stretch>
                          <a:fillRect/>
                        </a:stretch>
                      </pic:blipFill>
                      <pic:spPr>
                        <a:xfrm>
                          <a:off x="0" y="0"/>
                          <a:ext cx="2219325" cy="7960360"/>
                        </a:xfrm>
                        <a:prstGeom prst="rect"/>
                        <a:ln/>
                      </pic:spPr>
                    </pic:pic>
                  </a:graphicData>
                </a:graphic>
              </wp:anchor>
            </w:drawing>
          </mc:Fallback>
        </mc:AlternateContent>
      </w:r>
      <w:r w:rsidDel="00000000" w:rsidR="00000000" w:rsidRPr="00000000">
        <w:rPr>
          <w:rFonts w:ascii="Cambria" w:cs="Cambria" w:eastAsia="Cambria" w:hAnsi="Cambria"/>
          <w:b w:val="1"/>
          <w:sz w:val="28"/>
          <w:szCs w:val="28"/>
          <w:rtl w:val="0"/>
        </w:rPr>
        <w:t xml:space="preserve">Additional Helpful Information</w:t>
      </w:r>
    </w:p>
    <w:p w:rsidR="00000000" w:rsidDel="00000000" w:rsidP="00000000" w:rsidRDefault="00000000" w:rsidRPr="00000000" w14:paraId="00000031">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The Parent Involvement Policy/Compact will be reviewed and updated yearly with parent input and suggestions.</w:t>
      </w:r>
    </w:p>
    <w:p w:rsidR="00000000" w:rsidDel="00000000" w:rsidP="00000000" w:rsidRDefault="00000000" w:rsidRPr="00000000" w14:paraId="00000032">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All parents will be invited to an annual meeting to participate in </w:t>
      </w:r>
    </w:p>
    <w:p w:rsidR="00000000" w:rsidDel="00000000" w:rsidP="00000000" w:rsidRDefault="00000000" w:rsidRPr="00000000" w14:paraId="00000033">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planning, reviewing, and improvement of the current McKinley School-wide Title I Family Program. Parents will also be informed </w:t>
      </w:r>
    </w:p>
    <w:p w:rsidR="00000000" w:rsidDel="00000000" w:rsidP="00000000" w:rsidRDefault="00000000" w:rsidRPr="00000000" w14:paraId="00000034">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 their rights as Title I families, State academic achievement standards, and local assessments. Parents will also be informed of how to monitor student progress through the use of Infinite </w:t>
      </w:r>
    </w:p>
    <w:p w:rsidR="00000000" w:rsidDel="00000000" w:rsidP="00000000" w:rsidRDefault="00000000" w:rsidRPr="00000000" w14:paraId="00000035">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Campus and Schoology. Parents will be provided strategies </w:t>
      </w:r>
    </w:p>
    <w:p w:rsidR="00000000" w:rsidDel="00000000" w:rsidP="00000000" w:rsidRDefault="00000000" w:rsidRPr="00000000" w14:paraId="00000036">
      <w:pPr>
        <w:spacing w:after="0" w:lineRule="auto"/>
        <w:ind w:left="360" w:firstLine="0"/>
        <w:rPr>
          <w:rFonts w:ascii="Cambria" w:cs="Cambria" w:eastAsia="Cambria" w:hAnsi="Cambria"/>
          <w:sz w:val="24"/>
          <w:szCs w:val="24"/>
        </w:rPr>
      </w:pPr>
      <w:bookmarkStart w:colFirst="0" w:colLast="0" w:name="_gjdgxs" w:id="0"/>
      <w:bookmarkEnd w:id="0"/>
      <w:r w:rsidDel="00000000" w:rsidR="00000000" w:rsidRPr="00000000">
        <w:rPr>
          <w:rFonts w:ascii="Cambria" w:cs="Cambria" w:eastAsia="Cambria" w:hAnsi="Cambria"/>
          <w:sz w:val="24"/>
          <w:szCs w:val="24"/>
          <w:rtl w:val="0"/>
        </w:rPr>
        <w:t xml:space="preserve">to help them work with their child(ren)'s teacher in order to  </w:t>
      </w:r>
    </w:p>
    <w:p w:rsidR="00000000" w:rsidDel="00000000" w:rsidP="00000000" w:rsidRDefault="00000000" w:rsidRPr="00000000" w14:paraId="00000037">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increase  student achievement.</w:t>
      </w:r>
    </w:p>
    <w:p w:rsidR="00000000" w:rsidDel="00000000" w:rsidP="00000000" w:rsidRDefault="00000000" w:rsidRPr="00000000" w14:paraId="00000038">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Parent meetings, including parent conferences, will be held on different days and at different times during the school year. </w:t>
      </w:r>
    </w:p>
    <w:p w:rsidR="00000000" w:rsidDel="00000000" w:rsidP="00000000" w:rsidRDefault="00000000" w:rsidRPr="00000000" w14:paraId="00000039">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Parent Conferences will be both in person and virtual this year.</w:t>
      </w:r>
    </w:p>
    <w:p w:rsidR="00000000" w:rsidDel="00000000" w:rsidP="00000000" w:rsidRDefault="00000000" w:rsidRPr="00000000" w14:paraId="0000003A">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Parent communication may include: notes home in take-home folders, Schoology notifications or messages, phone calls, emails, conferences, social media, parent meetings, and progress reports. Translated documents will be provided.   A Suggestion Box will also</w:t>
      </w:r>
    </w:p>
    <w:p w:rsidR="00000000" w:rsidDel="00000000" w:rsidP="00000000" w:rsidRDefault="00000000" w:rsidRPr="00000000" w14:paraId="0000003B">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be available in the school office for parents to utilize.</w:t>
      </w:r>
    </w:p>
    <w:p w:rsidR="00000000" w:rsidDel="00000000" w:rsidP="00000000" w:rsidRDefault="00000000" w:rsidRPr="00000000" w14:paraId="0000003C">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Parents will be informed of District and State required testing schedules, as well as individual and school-wide results through formal Parent Conference Days, student progress reports, report cards, and individual student meetings throughout the school year.</w:t>
      </w:r>
    </w:p>
    <w:p w:rsidR="00000000" w:rsidDel="00000000" w:rsidP="00000000" w:rsidRDefault="00000000" w:rsidRPr="00000000" w14:paraId="0000003D">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Parents will have unlimited access to the Erie School District </w:t>
      </w:r>
    </w:p>
    <w:p w:rsidR="00000000" w:rsidDel="00000000" w:rsidP="00000000" w:rsidRDefault="00000000" w:rsidRPr="00000000" w14:paraId="0000003E">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Portal to review the curriculum and may seek further assistance</w:t>
      </w:r>
    </w:p>
    <w:p w:rsidR="00000000" w:rsidDel="00000000" w:rsidP="00000000" w:rsidRDefault="00000000" w:rsidRPr="00000000" w14:paraId="0000003F">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staff, if needed.</w:t>
      </w:r>
    </w:p>
    <w:p w:rsidR="00000000" w:rsidDel="00000000" w:rsidP="00000000" w:rsidRDefault="00000000" w:rsidRPr="00000000" w14:paraId="00000040">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Parents will have the opportunity to assist in teacher trainings on how to reach out to, communicate with, and work with parents and family members as equal partners, implement and coordinate </w:t>
      </w:r>
    </w:p>
    <w:p w:rsidR="00000000" w:rsidDel="00000000" w:rsidP="00000000" w:rsidRDefault="00000000" w:rsidRPr="00000000" w14:paraId="00000041">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parent programs, and build ties between parents and family members of the school.</w:t>
      </w:r>
    </w:p>
    <w:p w:rsidR="00000000" w:rsidDel="00000000" w:rsidP="00000000" w:rsidRDefault="00000000" w:rsidRPr="00000000" w14:paraId="00000042">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Federal funds will be available to support parent participation in school related meetings and trainings. Funds to provide food for parents/families will be allocated when needed.</w:t>
      </w:r>
    </w:p>
    <w:p w:rsidR="00000000" w:rsidDel="00000000" w:rsidP="00000000" w:rsidRDefault="00000000" w:rsidRPr="00000000" w14:paraId="00000043">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If requested, opportunities will be provided for parents to be involved in educational decisions regarding the student’s education.</w:t>
      </w:r>
    </w:p>
    <w:p w:rsidR="00000000" w:rsidDel="00000000" w:rsidP="00000000" w:rsidRDefault="00000000" w:rsidRPr="00000000" w14:paraId="00000044">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Parent Resource Room is available and located in the </w:t>
      </w:r>
    </w:p>
    <w:p w:rsidR="00000000" w:rsidDel="00000000" w:rsidP="00000000" w:rsidRDefault="00000000" w:rsidRPr="00000000" w14:paraId="00000045">
      <w:pPr>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Community School Room.</w:t>
      </w:r>
    </w:p>
    <w:p w:rsidR="00000000" w:rsidDel="00000000" w:rsidP="00000000" w:rsidRDefault="00000000" w:rsidRPr="00000000" w14:paraId="00000046">
      <w:pPr>
        <w:spacing w:after="0" w:lineRule="auto"/>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questions or concerns please contact our School-Wide Support Teachers </w:t>
      </w:r>
      <w:hyperlink r:id="rId9">
        <w:r w:rsidDel="00000000" w:rsidR="00000000" w:rsidRPr="00000000">
          <w:rPr>
            <w:rFonts w:ascii="Cambria" w:cs="Cambria" w:eastAsia="Cambria" w:hAnsi="Cambria"/>
            <w:color w:val="1155cc"/>
            <w:sz w:val="24"/>
            <w:szCs w:val="24"/>
            <w:u w:val="single"/>
            <w:rtl w:val="0"/>
          </w:rPr>
          <w:t xml:space="preserve">aspitznogle@eriesd.org</w:t>
        </w:r>
      </w:hyperlink>
      <w:r w:rsidDel="00000000" w:rsidR="00000000" w:rsidRPr="00000000">
        <w:rPr>
          <w:rFonts w:ascii="Cambria" w:cs="Cambria" w:eastAsia="Cambria" w:hAnsi="Cambria"/>
          <w:sz w:val="24"/>
          <w:szCs w:val="24"/>
          <w:rtl w:val="0"/>
        </w:rPr>
        <w:t xml:space="preserve"> or </w:t>
      </w:r>
      <w:hyperlink r:id="rId10">
        <w:r w:rsidDel="00000000" w:rsidR="00000000" w:rsidRPr="00000000">
          <w:rPr>
            <w:rFonts w:ascii="Cambria" w:cs="Cambria" w:eastAsia="Cambria" w:hAnsi="Cambria"/>
            <w:color w:val="0000ff"/>
            <w:sz w:val="24"/>
            <w:szCs w:val="24"/>
            <w:u w:val="single"/>
            <w:rtl w:val="0"/>
          </w:rPr>
          <w:t xml:space="preserve">cadiutori@eriesd.org</w:t>
        </w:r>
      </w:hyperlink>
      <w:r w:rsidDel="00000000" w:rsidR="00000000" w:rsidRPr="00000000">
        <w:rPr>
          <w:rFonts w:ascii="Cambria" w:cs="Cambria" w:eastAsia="Cambria" w:hAnsi="Cambria"/>
          <w:sz w:val="24"/>
          <w:szCs w:val="24"/>
          <w:rtl w:val="0"/>
        </w:rPr>
        <w:t xml:space="preserve"> .</w:t>
      </w:r>
    </w:p>
    <w:sectPr>
      <w:pgSz w:h="15840" w:w="12240" w:orient="portrait"/>
      <w:pgMar w:bottom="288"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ind w:left="1380" w:right="217"/>
      <w:jc w:val="center"/>
    </w:pPr>
    <w:rPr>
      <w:rFonts w:ascii="Cambria" w:cs="Cambria" w:eastAsia="Cambria" w:hAnsi="Cambria"/>
      <w:i w:val="1"/>
      <w:sz w:val="28"/>
      <w:szCs w:val="28"/>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adiutori@eriesd.org" TargetMode="External"/><Relationship Id="rId9" Type="http://schemas.openxmlformats.org/officeDocument/2006/relationships/hyperlink" Target="mailto:aspitznogle@eriesd.or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